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Design and Technology:  2 Year Planning Overview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8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567"/>
        <w:gridCol w:w="2268"/>
        <w:gridCol w:w="2268"/>
        <w:gridCol w:w="2551"/>
        <w:gridCol w:w="2552"/>
        <w:gridCol w:w="2239"/>
        <w:gridCol w:w="2239"/>
        <w:tblGridChange w:id="0">
          <w:tblGrid>
            <w:gridCol w:w="704"/>
            <w:gridCol w:w="567"/>
            <w:gridCol w:w="2268"/>
            <w:gridCol w:w="2268"/>
            <w:gridCol w:w="2551"/>
            <w:gridCol w:w="2552"/>
            <w:gridCol w:w="2239"/>
            <w:gridCol w:w="22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Autumn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Summer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Class 2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DT Aspect – Mechanisms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Focus – Sliders and levers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DT Aspect – Food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Focus – Preparing fruit and vegetable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(inc cooking and nutrition requirements for KS1)</w:t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DT Aspect – Textiles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Focus – Templates and joining techniques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DT Aspect - Structures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Focus - Free standing structure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DT Aspect – Food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Focus – Preparing fruit and vegetable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(inc cooking and nutrition requirements for KS1)</w:t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DT Aspect – Mechanisms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Focus - Axles and Wheels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Class 3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DT Aspect – Electrical Systems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Focus – simple programming and control</w:t>
            </w:r>
          </w:p>
          <w:p w:rsidR="00000000" w:rsidDel="00000000" w:rsidP="00000000" w:rsidRDefault="00000000" w:rsidRPr="00000000" w14:paraId="0000002E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DT Aspect - Structures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Focus - Shell structures or Shell structures using computer aided design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DT Aspect – Electrical Systems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Focus – Simple circuits and switches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DT Aspect – Mechanisms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Focus –Levers and linkages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Or Mechanical Systems - pneumatics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DT Aspect - Textiles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Focus 2D shape to 3D product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DT Aspect – Food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Focus – Healthy and varied diet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Class 4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2832"/>
              </w:tabs>
              <w:rPr/>
            </w:pPr>
            <w:r w:rsidDel="00000000" w:rsidR="00000000" w:rsidRPr="00000000">
              <w:rPr>
                <w:rtl w:val="0"/>
              </w:rPr>
              <w:t xml:space="preserve">DT Aspect – Mechanical Systems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2832"/>
              </w:tabs>
              <w:rPr/>
            </w:pPr>
            <w:r w:rsidDel="00000000" w:rsidR="00000000" w:rsidRPr="00000000">
              <w:rPr>
                <w:rtl w:val="0"/>
              </w:rPr>
              <w:t xml:space="preserve">Focus – Pulley or gears</w:t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DT Aspect - Textiles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Focus – Combining different textile shapes</w:t>
            </w:r>
          </w:p>
          <w:p w:rsidR="00000000" w:rsidDel="00000000" w:rsidP="00000000" w:rsidRDefault="00000000" w:rsidRPr="00000000" w14:paraId="00000050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DT Aspect - Electrical systems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Focus - More complex switches and circuits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DT Aspect – Mechanical Systems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Focus – Cams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DT Aspect – Electrical systems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Focus – Monitoring and control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DT Aspect - Food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Focus - Celebrating culture and seasonality  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12B2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g7UDIp5SRV8R9XbEpikj/OEerw==">AMUW2mU5vhUpwunAKZtiBEAyzHUjlDp3KZOhOHgs7AyzlD47B0Z+CxOjF9aoO6e8JG8QuGjzDgraRxz+2RIzWEAi22e0W2reYsaCVIsPC7x2kL15tC+2w1u+0agbpFdKo375GgCXxmMN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2021-11-04T15:56:00Z</dcterms:created>
  <dc:creator>Jane Stevens</dc:creator>
</cp:coreProperties>
</file>